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2C6C" w:rsidRDefault="006C2C6C" w:rsidP="006C2C6C">
      <w:pPr>
        <w:spacing w:after="0" w:line="360" w:lineRule="auto"/>
        <w:jc w:val="center"/>
        <w:rPr>
          <w:rFonts w:ascii="Times New Roman" w:hAnsi="Times New Roman"/>
          <w:b/>
          <w:caps/>
          <w:lang w:eastAsia="es-ES_tradnl"/>
        </w:rPr>
      </w:pPr>
      <w:r w:rsidRPr="006C2C6C">
        <w:rPr>
          <w:rFonts w:ascii="Times New Roman" w:hAnsi="Times New Roman"/>
          <w:b/>
          <w:caps/>
          <w:szCs w:val="250"/>
          <w:lang w:eastAsia="es-ES_tradnl"/>
        </w:rPr>
        <w:t>Leyes de la teoría de la forma</w:t>
      </w:r>
      <w:r w:rsidR="00D15016">
        <w:rPr>
          <w:rFonts w:ascii="Times New Roman" w:hAnsi="Times New Roman"/>
          <w:b/>
          <w:caps/>
          <w:szCs w:val="250"/>
          <w:lang w:eastAsia="es-ES_tradnl"/>
        </w:rPr>
        <w:t xml:space="preserve"> </w:t>
      </w:r>
      <w:r>
        <w:rPr>
          <w:rFonts w:ascii="Times New Roman" w:hAnsi="Times New Roman"/>
          <w:b/>
          <w:caps/>
          <w:lang w:eastAsia="es-ES_tradnl"/>
        </w:rPr>
        <w:t>(Gestalt)</w:t>
      </w:r>
    </w:p>
    <w:p w:rsidR="006C2C6C" w:rsidRPr="006C2C6C" w:rsidRDefault="006C2C6C" w:rsidP="006C2C6C">
      <w:pPr>
        <w:spacing w:after="0" w:line="360" w:lineRule="auto"/>
        <w:jc w:val="center"/>
        <w:rPr>
          <w:rFonts w:ascii="Times New Roman" w:hAnsi="Times New Roman"/>
          <w:b/>
          <w:caps/>
          <w:szCs w:val="250"/>
          <w:lang w:eastAsia="es-ES_tradnl"/>
        </w:rPr>
      </w:pP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1.</w:t>
      </w:r>
      <w:r w:rsidRPr="006C2C6C">
        <w:rPr>
          <w:rFonts w:ascii="Times New Roman" w:hAnsi="Times New Roman"/>
          <w:b/>
          <w:lang w:eastAsia="es-ES_tradnl"/>
        </w:rPr>
        <w:t>Ley de totalidad: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El todo es diferente y es más que la suma de sus partes.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2.</w:t>
      </w:r>
      <w:r w:rsidRPr="006C2C6C">
        <w:rPr>
          <w:rFonts w:ascii="Times New Roman" w:hAnsi="Times New Roman"/>
          <w:b/>
          <w:lang w:eastAsia="es-ES_tradnl"/>
        </w:rPr>
        <w:t>Ley estructural: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Una forma es percibida como un todo, con independencia de la naturaleza de las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partes que la constituyen.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3.</w:t>
      </w:r>
      <w:r w:rsidRPr="006C2C6C">
        <w:rPr>
          <w:rFonts w:ascii="Times New Roman" w:hAnsi="Times New Roman"/>
          <w:b/>
          <w:lang w:eastAsia="es-ES_tradnl"/>
        </w:rPr>
        <w:t>Ley dialéctica: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Toda forma se desprende del fondo sobre el que está establecida. La mirada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decide si tal o cual elemento del campo visual pertenece alternativamente a la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forma o al fondo.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4.</w:t>
      </w:r>
      <w:r w:rsidRPr="006C2C6C">
        <w:rPr>
          <w:rFonts w:ascii="Times New Roman" w:hAnsi="Times New Roman"/>
          <w:b/>
          <w:lang w:eastAsia="es-ES_tradnl"/>
        </w:rPr>
        <w:t>Ley de contraste: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Una forma es mejor percibida en la medida en que se esteblece un mayor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contraste entre ella y su fondo. (Es el principio de lo que llamamos «buena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forma».)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5.</w:t>
      </w:r>
      <w:r w:rsidRPr="006C2C6C">
        <w:rPr>
          <w:rFonts w:ascii="Times New Roman" w:hAnsi="Times New Roman"/>
          <w:b/>
          <w:lang w:eastAsia="es-ES_tradnl"/>
        </w:rPr>
        <w:t>Ley de cierre: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Una forma será mejor en la medida en que su contorno esté mejor cerrado.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6.</w:t>
      </w:r>
      <w:r w:rsidRPr="006C2C6C">
        <w:rPr>
          <w:rFonts w:ascii="Times New Roman" w:hAnsi="Times New Roman"/>
          <w:b/>
          <w:lang w:eastAsia="es-ES_tradnl"/>
        </w:rPr>
        <w:t>Ley de completación: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Si un contorno no está completamente cerrado, la mente tiende a completar o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continuar dicho contorno incluyéndole los elementos que son más fáciles de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aceptar en la forma, o que son de algún modo inducidos por ella.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u w:val="single"/>
          <w:lang w:eastAsia="es-ES_tradnl"/>
        </w:rPr>
      </w:pPr>
      <w:r w:rsidRPr="006C2C6C">
        <w:rPr>
          <w:rFonts w:ascii="Times New Roman" w:hAnsi="Times New Roman"/>
          <w:b/>
          <w:szCs w:val="196"/>
          <w:u w:val="single"/>
          <w:lang w:eastAsia="es-ES_tradnl"/>
        </w:rPr>
        <w:t>7.</w:t>
      </w:r>
      <w:r w:rsidRPr="006C2C6C">
        <w:rPr>
          <w:rFonts w:ascii="Times New Roman" w:hAnsi="Times New Roman"/>
          <w:b/>
          <w:u w:val="single"/>
          <w:lang w:eastAsia="es-ES_tradnl"/>
        </w:rPr>
        <w:t>Noción de pregnancia:</w:t>
      </w:r>
      <w:r w:rsidRPr="006C2C6C">
        <w:rPr>
          <w:rFonts w:ascii="Times New Roman" w:hAnsi="Times New Roman"/>
          <w:b/>
          <w:szCs w:val="196"/>
          <w:u w:val="single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La «pregnancia» (Wertheimer) es la fuerza de la forma. Es la dictadura que la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forma ejerce sobre el movimiento ocular, así como su capacidad por imponerse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en la mente y en el recuerdo. (La pregnancia es subsidiaria de la «buena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forma».)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8.</w:t>
      </w:r>
      <w:r w:rsidRPr="006C2C6C">
        <w:rPr>
          <w:rFonts w:ascii="Times New Roman" w:hAnsi="Times New Roman"/>
          <w:b/>
          <w:lang w:eastAsia="es-ES_tradnl"/>
        </w:rPr>
        <w:t>Ley de simplicidad: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En un campo gráfico dado, las figuras menos complejas tienen una mayor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pregnancia. Una figura simple es aquella que necesita un menor número de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grafemas para construirla: menos segmentos de rectas, menos curvas, menos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ángulos, menos intersecciones.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9.</w:t>
      </w:r>
      <w:r w:rsidRPr="006C2C6C">
        <w:rPr>
          <w:rFonts w:ascii="Times New Roman" w:hAnsi="Times New Roman"/>
          <w:b/>
          <w:lang w:eastAsia="es-ES_tradnl"/>
        </w:rPr>
        <w:t xml:space="preserve">Ley de concentración </w:t>
      </w:r>
      <w:r w:rsidRPr="006C2C6C">
        <w:rPr>
          <w:rFonts w:ascii="Times New Roman" w:hAnsi="Times New Roman"/>
          <w:lang w:eastAsia="es-ES_tradnl"/>
        </w:rPr>
        <w:t>(llamada también de simetría, de equilibrio y de</w:t>
      </w:r>
      <w:r w:rsidRPr="006C2C6C">
        <w:rPr>
          <w:rFonts w:ascii="Times New Roman" w:hAnsi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inclusión):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Los elementos que se organizan alrededor de un punto central, que es su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núcleo, constituyen en todos los casos una forma pregnante.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10.</w:t>
      </w:r>
      <w:r w:rsidRPr="006C2C6C">
        <w:rPr>
          <w:rFonts w:ascii="Times New Roman" w:hAnsi="Times New Roman"/>
          <w:b/>
          <w:lang w:eastAsia="es-ES_tradnl"/>
        </w:rPr>
        <w:t>Ley de continuidad: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Los elementos que se desarrollan siguiendo un eje continuo constituyen una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forma pregnante.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pacing w:val="-10"/>
          <w:szCs w:val="196"/>
          <w:lang w:eastAsia="es-ES_tradnl"/>
        </w:rPr>
      </w:pPr>
      <w:r w:rsidRPr="006C2C6C">
        <w:rPr>
          <w:rFonts w:ascii="Times New Roman" w:hAnsi="Times New Roman"/>
          <w:b/>
          <w:spacing w:val="-10"/>
          <w:szCs w:val="196"/>
          <w:lang w:eastAsia="es-ES_tradnl"/>
        </w:rPr>
        <w:t>11.</w:t>
      </w:r>
      <w:r w:rsidRPr="006C2C6C">
        <w:rPr>
          <w:rFonts w:ascii="Times New Roman" w:hAnsi="Times New Roman"/>
          <w:b/>
          <w:lang w:eastAsia="es-ES_tradnl"/>
        </w:rPr>
        <w:t>Ley de contorno:</w:t>
      </w:r>
      <w:r w:rsidRPr="006C2C6C">
        <w:rPr>
          <w:rFonts w:ascii="Times New Roman" w:hAnsi="Times New Roman"/>
          <w:b/>
          <w:spacing w:val="-10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Las figuras cuyas formas poseen mayor contraste sobre el fondo son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agrupadas y asociadas por la percepción, y poseen un alto potencial de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pregnancia.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12.</w:t>
      </w:r>
      <w:r w:rsidRPr="006C2C6C">
        <w:rPr>
          <w:rFonts w:ascii="Times New Roman" w:hAnsi="Times New Roman"/>
          <w:b/>
          <w:lang w:eastAsia="es-ES_tradnl"/>
        </w:rPr>
        <w:t>Ley del movimiento coordinado: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Los diferentes elementos que participan de un mismo movimiento constituyen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una forma pregnante.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13.</w:t>
      </w:r>
      <w:r w:rsidRPr="006C2C6C">
        <w:rPr>
          <w:rFonts w:ascii="Times New Roman" w:hAnsi="Times New Roman"/>
          <w:b/>
          <w:lang w:eastAsia="es-ES_tradnl"/>
        </w:rPr>
        <w:t>Ley de continuidad de dirección: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Una línea curva es percibida como un fragmento de circunferencia y un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segmento de línea.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14.</w:t>
      </w:r>
      <w:r w:rsidRPr="006C2C6C">
        <w:rPr>
          <w:rFonts w:ascii="Times New Roman" w:hAnsi="Times New Roman"/>
          <w:b/>
          <w:lang w:eastAsia="es-ES_tradnl"/>
        </w:rPr>
        <w:t xml:space="preserve"> Principio de invarianza topológica: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>Una forma resiste a la deformación en que se la hace incurrir. Esta</w:t>
      </w:r>
      <w:r w:rsidRPr="006C2C6C">
        <w:rPr>
          <w:rFonts w:ascii="Times New Roman" w:hAnsi="Times New Roman"/>
          <w:lang w:eastAsia="es-ES_tradnl"/>
        </w:rPr>
        <w:t xml:space="preserve"> </w:t>
      </w:r>
      <w:r w:rsidRPr="006C2C6C">
        <w:rPr>
          <w:rFonts w:ascii="Times New Roman" w:hAnsi="Times New Roman"/>
          <w:szCs w:val="196"/>
          <w:lang w:eastAsia="es-ES_tradnl"/>
        </w:rPr>
        <w:t xml:space="preserve">resistencia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>se</w:t>
      </w:r>
      <w:r w:rsidRPr="006C2C6C">
        <w:rPr>
          <w:rFonts w:ascii="Times New Roman" w:hAnsi="Times New Roman"/>
          <w:lang w:eastAsia="es-ES_tradnl"/>
        </w:rPr>
        <w:t xml:space="preserve"> </w:t>
      </w:r>
      <w:r w:rsidRPr="006C2C6C">
        <w:rPr>
          <w:rFonts w:ascii="Times New Roman" w:hAnsi="Times New Roman"/>
          <w:szCs w:val="196"/>
          <w:lang w:eastAsia="es-ES_tradnl"/>
        </w:rPr>
        <w:t xml:space="preserve">da en la medida en que la forma es más pregnante.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15.</w:t>
      </w:r>
      <w:r w:rsidRPr="006C2C6C">
        <w:rPr>
          <w:rFonts w:ascii="Times New Roman" w:hAnsi="Times New Roman"/>
          <w:b/>
          <w:lang w:eastAsia="es-ES_tradnl"/>
        </w:rPr>
        <w:t>Principio de enmascaramiento: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Una forma resiste a las diferentes perturbaciones a las que está sometida (ruido,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manchas, elementos parásitos). En la medida en que la forma sea más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pregnante, será más persistente.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16.</w:t>
      </w:r>
      <w:r w:rsidRPr="006C2C6C">
        <w:rPr>
          <w:rFonts w:ascii="Times New Roman" w:hAnsi="Times New Roman"/>
          <w:b/>
          <w:lang w:eastAsia="es-ES_tradnl"/>
        </w:rPr>
        <w:t>Principio de Birkhoff: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Una forma será tanto más pregnante en la medida en que contenga un mayor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número de «ejes de simetría» (regularidad, estabilidad).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17.</w:t>
      </w:r>
      <w:r w:rsidRPr="006C2C6C">
        <w:rPr>
          <w:rFonts w:ascii="Times New Roman" w:hAnsi="Times New Roman"/>
          <w:b/>
          <w:lang w:eastAsia="es-ES_tradnl"/>
        </w:rPr>
        <w:t>Principio de proximidad: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Los elementos del campo perceptivo que están aislados, pero que son vecinos,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>tienden a ser considerados como «grupos» o</w:t>
      </w:r>
      <w:r w:rsidRPr="006C2C6C">
        <w:rPr>
          <w:rFonts w:ascii="Times New Roman" w:hAnsi="Times New Roman"/>
          <w:lang w:eastAsia="es-ES_tradnl"/>
        </w:rPr>
        <w:t xml:space="preserve"> formas globales</w:t>
      </w:r>
      <w:r w:rsidRPr="006C2C6C">
        <w:rPr>
          <w:rFonts w:ascii="Times New Roman" w:hAnsi="Times New Roman"/>
          <w:szCs w:val="196"/>
          <w:lang w:eastAsia="es-ES_tradnl"/>
        </w:rPr>
        <w:t xml:space="preserve">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18.</w:t>
      </w:r>
      <w:r w:rsidRPr="006C2C6C">
        <w:rPr>
          <w:rFonts w:ascii="Times New Roman" w:hAnsi="Times New Roman"/>
          <w:b/>
          <w:lang w:eastAsia="es-ES_tradnl"/>
        </w:rPr>
        <w:t>Principio de similaridad: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En un campo de elementos equidistantes, aquellos que tienen mayor similitud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por su forma, tamaño, color y dirección, se perciben ligados entre ellos para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formar una cadena o grupos homogéneos.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19.</w:t>
      </w:r>
      <w:r w:rsidRPr="006C2C6C">
        <w:rPr>
          <w:rFonts w:ascii="Times New Roman" w:hAnsi="Times New Roman"/>
          <w:b/>
          <w:lang w:eastAsia="es-ES_tradnl"/>
        </w:rPr>
        <w:t>Principio de memoria: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Las formas son tanto mejor percibidas por un individuo en la medida en que le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szCs w:val="196"/>
          <w:lang w:eastAsia="es-ES_tradnl"/>
        </w:rPr>
      </w:pPr>
      <w:r w:rsidRPr="006C2C6C">
        <w:rPr>
          <w:rFonts w:ascii="Times New Roman" w:hAnsi="Times New Roman"/>
          <w:szCs w:val="196"/>
          <w:lang w:eastAsia="es-ES_tradnl"/>
        </w:rPr>
        <w:t xml:space="preserve">son presentadas con mayor frecuencia. </w:t>
      </w:r>
    </w:p>
    <w:p w:rsidR="006C2C6C" w:rsidRPr="006C2C6C" w:rsidRDefault="006C2C6C" w:rsidP="006C2C6C">
      <w:pPr>
        <w:spacing w:after="0" w:line="360" w:lineRule="auto"/>
        <w:rPr>
          <w:rFonts w:ascii="Times New Roman" w:hAnsi="Times New Roman"/>
          <w:b/>
          <w:szCs w:val="196"/>
          <w:lang w:eastAsia="es-ES_tradnl"/>
        </w:rPr>
      </w:pPr>
      <w:r w:rsidRPr="006C2C6C">
        <w:rPr>
          <w:rFonts w:ascii="Times New Roman" w:hAnsi="Times New Roman"/>
          <w:b/>
          <w:szCs w:val="196"/>
          <w:lang w:eastAsia="es-ES_tradnl"/>
        </w:rPr>
        <w:t>20.</w:t>
      </w:r>
      <w:r w:rsidRPr="006C2C6C">
        <w:rPr>
          <w:rFonts w:ascii="Times New Roman" w:hAnsi="Times New Roman"/>
          <w:b/>
          <w:lang w:eastAsia="es-ES_tradnl"/>
        </w:rPr>
        <w:t>Principio de jerarquización:</w:t>
      </w:r>
      <w:r w:rsidRPr="006C2C6C">
        <w:rPr>
          <w:rFonts w:ascii="Times New Roman" w:hAnsi="Times New Roman"/>
          <w:b/>
          <w:szCs w:val="196"/>
          <w:lang w:eastAsia="es-ES_tradnl"/>
        </w:rPr>
        <w:t xml:space="preserve"> </w:t>
      </w:r>
    </w:p>
    <w:p w:rsidR="001540FA" w:rsidRPr="006C2C6C" w:rsidRDefault="006C2C6C" w:rsidP="006C2C6C">
      <w:pPr>
        <w:spacing w:after="0" w:line="360" w:lineRule="auto"/>
        <w:rPr>
          <w:rFonts w:ascii="Times New Roman" w:hAnsi="Times New Roman" w:cs="Times New Roman"/>
          <w:szCs w:val="196"/>
          <w:lang w:eastAsia="es-ES_tradnl"/>
        </w:rPr>
      </w:pPr>
      <w:r w:rsidRPr="006C2C6C">
        <w:rPr>
          <w:rFonts w:ascii="Times New Roman" w:hAnsi="Times New Roman" w:cs="Times New Roman"/>
          <w:lang w:eastAsia="es-ES_tradnl"/>
        </w:rPr>
        <w:t>Una forma compleja será tanto más pregnante cuando la percepción esté mejor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orientada de lo principal a lo accesorio; es decir, que sus partes estén mejor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  <w:r w:rsidRPr="006C2C6C">
        <w:rPr>
          <w:rFonts w:ascii="Times New Roman" w:hAnsi="Times New Roman" w:cs="Times New Roman"/>
          <w:lang w:eastAsia="es-ES_tradnl"/>
        </w:rPr>
        <w:t>jerarquizadas.</w:t>
      </w:r>
      <w:r w:rsidRPr="006C2C6C">
        <w:rPr>
          <w:rFonts w:ascii="Times New Roman" w:hAnsi="Times New Roman" w:cs="Times New Roman"/>
          <w:szCs w:val="196"/>
          <w:lang w:eastAsia="es-ES_tradnl"/>
        </w:rPr>
        <w:t xml:space="preserve"> </w:t>
      </w:r>
    </w:p>
    <w:sectPr w:rsidR="001540FA" w:rsidRPr="006C2C6C" w:rsidSect="00DC6A5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2C6C"/>
    <w:rsid w:val="006C2C6C"/>
    <w:rsid w:val="00D150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F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ff0">
    <w:name w:val="ff0"/>
    <w:basedOn w:val="Fuentedeprrafopredeter"/>
    <w:rsid w:val="006C2C6C"/>
  </w:style>
  <w:style w:type="character" w:customStyle="1" w:styleId="ff3">
    <w:name w:val="ff3"/>
    <w:basedOn w:val="Fuentedeprrafopredeter"/>
    <w:rsid w:val="006C2C6C"/>
  </w:style>
  <w:style w:type="character" w:customStyle="1" w:styleId="ff1">
    <w:name w:val="ff1"/>
    <w:basedOn w:val="Fuentedeprrafopredeter"/>
    <w:rsid w:val="006C2C6C"/>
  </w:style>
  <w:style w:type="paragraph" w:customStyle="1" w:styleId="pjff0">
    <w:name w:val="pj ff0"/>
    <w:basedOn w:val="Normal"/>
    <w:rsid w:val="006C2C6C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nw">
    <w:name w:val="nw"/>
    <w:basedOn w:val="Fuentedeprrafopredeter"/>
    <w:rsid w:val="006C2C6C"/>
  </w:style>
  <w:style w:type="character" w:customStyle="1" w:styleId="ib">
    <w:name w:val="ib"/>
    <w:basedOn w:val="Fuentedeprrafopredeter"/>
    <w:rsid w:val="006C2C6C"/>
  </w:style>
  <w:style w:type="character" w:customStyle="1" w:styleId="ff2">
    <w:name w:val="ff2"/>
    <w:basedOn w:val="Fuentedeprrafopredeter"/>
    <w:rsid w:val="006C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Word 12.0.0</Application>
  <DocSecurity>0</DocSecurity>
  <Lines>24</Lines>
  <Paragraphs>5</Paragraphs>
  <ScaleCrop>false</ScaleCrop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 book mac book</cp:lastModifiedBy>
  <cp:revision>2</cp:revision>
  <dcterms:created xsi:type="dcterms:W3CDTF">2011-02-09T23:42:00Z</dcterms:created>
  <dcterms:modified xsi:type="dcterms:W3CDTF">2011-02-09T23:45:00Z</dcterms:modified>
</cp:coreProperties>
</file>